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/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Технические требования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ОКПД2 52.10.19.900. Оказание услуг по хранению 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и переработке нефтепродуктов и прочего МТР для нужд филиалов 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АО «Сахаэнерго»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Лот №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8"/>
          <w:u w:val="none"/>
          <w:em w:val="none"/>
        </w:rPr>
        <w:t xml:space="preserve"> 5801-ЭКСП ПРОД-2027-СахаЭ</w:t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7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</w:rPr>
            <w:instrText xml:space="preserve"> TOC \z \o "1-4" \u \h</w:instrText>
          </w:r>
          <w:r>
            <w:rPr>
              <w:webHidden/>
            </w:rPr>
            <w:fldChar w:fldCharType="separate"/>
          </w:r>
          <w:hyperlink w:anchor="__RefHeading___Toc4234898_1282851215">
            <w:r>
              <w:rPr>
                <w:webHidden/>
              </w:rPr>
              <w:t>1. Общие сведения</w:t>
              <w:tab/>
              <w:t>3</w:t>
            </w:r>
          </w:hyperlink>
        </w:p>
        <w:p>
          <w:pPr>
            <w:pStyle w:val="42"/>
            <w:tabs>
              <w:tab w:val="clear" w:pos="708"/>
              <w:tab w:val="right" w:pos="9921" w:leader="dot"/>
            </w:tabs>
            <w:rPr/>
          </w:pPr>
          <w:hyperlink w:anchor="__RefHeading___Toc4234900_1282851215">
            <w:r>
              <w:rPr>
                <w:webHidden/>
              </w:rPr>
              <w:t>1.1. Обозначения и сокращения</w:t>
              <w:tab/>
              <w:t>3</w:t>
            </w:r>
          </w:hyperlink>
        </w:p>
        <w:p>
          <w:pPr>
            <w:pStyle w:val="42"/>
            <w:tabs>
              <w:tab w:val="clear" w:pos="708"/>
              <w:tab w:val="right" w:pos="9921" w:leader="dot"/>
            </w:tabs>
            <w:rPr/>
          </w:pPr>
          <w:hyperlink w:anchor="__RefHeading___Toc4234902_1282851215">
            <w:r>
              <w:rPr>
                <w:webHidden/>
              </w:rPr>
              <w:t>1.2. Наименование закупаемой продукции</w:t>
              <w:tab/>
              <w:t>4</w:t>
            </w:r>
          </w:hyperlink>
        </w:p>
        <w:p>
          <w:pPr>
            <w:pStyle w:val="17"/>
            <w:tabs>
              <w:tab w:val="clear" w:pos="708"/>
              <w:tab w:val="right" w:pos="9921" w:leader="dot"/>
            </w:tabs>
            <w:rPr/>
          </w:pPr>
          <w:hyperlink w:anchor="__RefHeading___Toc4234904_1282851215">
            <w:r>
              <w:rPr>
                <w:webHidden/>
              </w:rPr>
              <w:t xml:space="preserve">2. </w:t>
            </w:r>
            <w:r>
              <w:rPr>
                <w:iCs/>
              </w:rPr>
              <w:t>Требования к продукции</w:t>
            </w:r>
            <w:r>
              <w:rPr/>
              <w:tab/>
              <w:t>4</w:t>
            </w:r>
          </w:hyperlink>
        </w:p>
        <w:p>
          <w:pPr>
            <w:pStyle w:val="42"/>
            <w:tabs>
              <w:tab w:val="clear" w:pos="708"/>
              <w:tab w:val="right" w:pos="9921" w:leader="dot"/>
            </w:tabs>
            <w:rPr/>
          </w:pPr>
          <w:hyperlink w:anchor="__RefHeading___Toc4234906_1282851215">
            <w:r>
              <w:rPr>
                <w:webHidden/>
              </w:rPr>
              <w:t>2.1. Требования к объемам и срокам оказания услуг</w:t>
              <w:tab/>
              <w:t>4</w:t>
            </w:r>
          </w:hyperlink>
        </w:p>
        <w:p>
          <w:pPr>
            <w:pStyle w:val="35"/>
            <w:tabs>
              <w:tab w:val="clear" w:pos="708"/>
              <w:tab w:val="right" w:pos="9921" w:leader="dot"/>
            </w:tabs>
            <w:rPr/>
          </w:pPr>
          <w:hyperlink w:anchor="__RefHeading___Toc4234908_1282851215">
            <w:r>
              <w:rPr>
                <w:webHidden/>
              </w:rPr>
              <w:t>2.1.1. Требования к перечню и объему услуг</w:t>
              <w:tab/>
              <w:t>4</w:t>
            </w:r>
          </w:hyperlink>
        </w:p>
        <w:p>
          <w:pPr>
            <w:pStyle w:val="17"/>
            <w:tabs>
              <w:tab w:val="clear" w:pos="708"/>
              <w:tab w:val="right" w:pos="9921" w:leader="dot"/>
            </w:tabs>
            <w:rPr/>
          </w:pPr>
          <w:hyperlink w:anchor="__RefHeading___Toc4234910_1282851215">
            <w:r>
              <w:rPr>
                <w:webHidden/>
              </w:rPr>
              <w:t>Таблица 1.1 Перечень и объем оказываемых услуг</w:t>
              <w:tab/>
              <w:t>4</w:t>
            </w:r>
          </w:hyperlink>
        </w:p>
        <w:p>
          <w:pPr>
            <w:pStyle w:val="35"/>
            <w:tabs>
              <w:tab w:val="clear" w:pos="708"/>
              <w:tab w:val="right" w:pos="9921" w:leader="dot"/>
            </w:tabs>
            <w:rPr/>
          </w:pPr>
          <w:hyperlink w:anchor="__RefHeading___Toc4234912_1282851215">
            <w:r>
              <w:rPr>
                <w:webHidden/>
              </w:rPr>
              <w:t>2.1.2. Требования к срокам оказания услуг</w:t>
              <w:tab/>
              <w:t>5</w:t>
            </w:r>
          </w:hyperlink>
        </w:p>
        <w:p>
          <w:pPr>
            <w:pStyle w:val="17"/>
            <w:tabs>
              <w:tab w:val="clear" w:pos="708"/>
              <w:tab w:val="right" w:pos="9921" w:leader="dot"/>
            </w:tabs>
            <w:rPr/>
          </w:pPr>
          <w:hyperlink w:anchor="__RefHeading___Toc4234914_1282851215">
            <w:r>
              <w:rPr>
                <w:webHidden/>
              </w:rPr>
              <w:t>Таблица 2.1.2 Требования к срокам оказания услуг</w:t>
              <w:tab/>
              <w:t>5</w:t>
            </w:r>
          </w:hyperlink>
        </w:p>
        <w:p>
          <w:pPr>
            <w:pStyle w:val="17"/>
            <w:tabs>
              <w:tab w:val="clear" w:pos="708"/>
              <w:tab w:val="right" w:pos="9921" w:leader="dot"/>
            </w:tabs>
            <w:rPr/>
          </w:pPr>
          <w:hyperlink w:anchor="__RefHeading___Toc4234916_1282851215">
            <w:r>
              <w:rPr>
                <w:webHidden/>
              </w:rPr>
              <w:t>3. Требования к качеству услуг</w:t>
              <w:tab/>
              <w:t>7</w:t>
            </w:r>
          </w:hyperlink>
          <w:r>
            <w:rPr/>
            <w:fldChar w:fldCharType="end"/>
          </w:r>
        </w:p>
      </w:sdtContent>
    </w:sdt>
    <w:p>
      <w:pPr>
        <w:pStyle w:val="2"/>
        <w:numPr>
          <w:ilvl w:val="0"/>
          <w:numId w:val="0"/>
        </w:numPr>
        <w:ind w:left="0" w:hanging="0"/>
        <w:rPr>
          <w:b w:val="false"/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bookmarkStart w:id="0" w:name="_GoBack"/>
      <w:bookmarkStart w:id="1" w:name="_GoBack"/>
      <w:bookmarkEnd w:id="1"/>
      <w:r>
        <w:br w:type="page"/>
      </w:r>
    </w:p>
    <w:p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2" w:name="__RefHeading___Toc4234898_1282851215"/>
      <w:bookmarkStart w:id="3" w:name="_Toc51339692"/>
      <w:bookmarkStart w:id="4" w:name="_Toc148889114"/>
      <w:bookmarkEnd w:id="2"/>
      <w:r>
        <w:rPr>
          <w:lang w:val="ru-RU"/>
        </w:rPr>
        <w:t>Общие сведения</w:t>
      </w:r>
      <w:bookmarkEnd w:id="3"/>
      <w:bookmarkEnd w:id="4"/>
    </w:p>
    <w:p>
      <w:pPr>
        <w:pStyle w:val="4"/>
        <w:numPr>
          <w:ilvl w:val="1"/>
          <w:numId w:val="3"/>
        </w:numPr>
        <w:rPr/>
      </w:pPr>
      <w:bookmarkStart w:id="5" w:name="__RefHeading___Toc4234900_1282851215"/>
      <w:bookmarkStart w:id="6" w:name="_Toc46743505"/>
      <w:bookmarkStart w:id="7" w:name="_Toc148889115"/>
      <w:bookmarkEnd w:id="5"/>
      <w:r>
        <w:rPr/>
        <w:t>Обозначения и сокращения</w:t>
      </w:r>
      <w:bookmarkEnd w:id="6"/>
      <w:bookmarkEnd w:id="7"/>
    </w:p>
    <w:p>
      <w:pPr>
        <w:pStyle w:val="Normal"/>
        <w:rPr>
          <w:rStyle w:val="Style16"/>
          <w:b w:val="false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16"/>
                <w:b w:val="false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16"/>
                <w:b w:val="false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16"/>
                <w:b w:val="false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16"/>
                <w:b w:val="false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4"/>
        <w:numPr>
          <w:ilvl w:val="1"/>
          <w:numId w:val="3"/>
        </w:numPr>
        <w:rPr/>
      </w:pPr>
      <w:bookmarkStart w:id="8" w:name="__RefHeading___Toc4234902_1282851215"/>
      <w:bookmarkStart w:id="9" w:name="_Toc46743506"/>
      <w:bookmarkStart w:id="10" w:name="_Toc148889116"/>
      <w:bookmarkEnd w:id="8"/>
      <w:r>
        <w:rPr/>
        <w:t>Наименование закупаемой продукции</w:t>
      </w:r>
      <w:bookmarkEnd w:id="9"/>
      <w:bookmarkEnd w:id="10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/>
          <w:b/>
          <w:bCs/>
        </w:rPr>
      </w:pPr>
      <w:r>
        <w:rPr>
          <w:rFonts w:eastAsia="Calibri"/>
          <w:b/>
          <w:bCs/>
          <w:sz w:val="24"/>
          <w:szCs w:val="24"/>
          <w:lang w:eastAsia="x-none"/>
        </w:rPr>
        <w:t>Услуги по хранению и переработке нефтепродуктов и прочего МТР для нужд филиалов АО «Сахаэнерго»</w:t>
      </w:r>
    </w:p>
    <w:p>
      <w:pPr>
        <w:pStyle w:val="Normal"/>
        <w:spacing w:before="0" w:after="0"/>
        <w:ind w:firstLine="426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Предоставление услуги по хранению (согласно Таблицы №1.1) в пункте хранения (на территории ГО г. Якутск).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16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Обеспечение сохранности имущества с момента приема до момента передачи уполномоченному лицу (иному лицу, определенному Грузовладельцем) для дальнейшего распоряжения. Хранитель обязан возвратить Грузовладельцу то имущество, которое было передано на хранение, и в том состоянии, в каком оно было принято на хранение. Хранитель не вправе без согласия Грузовладельца пользоваться переданным на хранение имуществом, а равно предоставлять возможность пользования таким имуществом третьим лицам. Хранитель не вправе удерживать имущество в счет причитающихся за хранение денежных средств, а также каким-либо иным способом противодействовать действиям и требованиям Грузовладельца по получению имущества</w:t>
      </w:r>
    </w:p>
    <w:p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1" w:name="__RefHeading___Toc4234904_1282851215"/>
      <w:bookmarkStart w:id="12" w:name="_Toc148889117"/>
      <w:bookmarkStart w:id="13" w:name="_Toc51339693"/>
      <w:bookmarkStart w:id="14" w:name="_Toc50125126"/>
      <w:bookmarkEnd w:id="11"/>
      <w:bookmarkEnd w:id="14"/>
      <w:r>
        <w:rPr>
          <w:iCs/>
        </w:rPr>
        <w:t>Требования к продукции</w:t>
      </w:r>
      <w:bookmarkEnd w:id="12"/>
      <w:bookmarkEnd w:id="13"/>
    </w:p>
    <w:p>
      <w:pPr>
        <w:pStyle w:val="4"/>
        <w:numPr>
          <w:ilvl w:val="1"/>
          <w:numId w:val="3"/>
        </w:numPr>
        <w:rPr/>
      </w:pPr>
      <w:bookmarkStart w:id="15" w:name="__RefHeading___Toc4234906_1282851215"/>
      <w:bookmarkStart w:id="16" w:name="_Toc148889118"/>
      <w:bookmarkEnd w:id="15"/>
      <w:r>
        <w:rPr/>
        <w:t xml:space="preserve">Требования к объемам и срокам </w:t>
      </w:r>
      <w:bookmarkEnd w:id="16"/>
      <w:r>
        <w:rPr>
          <w:lang w:val="ru-RU"/>
        </w:rPr>
        <w:t>оказания услуг</w:t>
      </w:r>
    </w:p>
    <w:p>
      <w:pPr>
        <w:pStyle w:val="3"/>
        <w:numPr>
          <w:ilvl w:val="2"/>
          <w:numId w:val="3"/>
        </w:numPr>
        <w:rPr/>
      </w:pPr>
      <w:bookmarkStart w:id="17" w:name="__RefHeading___Toc4234908_1282851215"/>
      <w:bookmarkEnd w:id="17"/>
      <w:r>
        <w:rPr>
          <w:lang w:val="ru-RU"/>
        </w:rPr>
        <w:t>Требования к перечню и объему услуг</w:t>
      </w:r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18" w:name="__RefHeading___Toc4234910_1282851215"/>
      <w:bookmarkStart w:id="19" w:name="_Toc148889120"/>
      <w:bookmarkStart w:id="20" w:name="_Toc51339695"/>
      <w:bookmarkEnd w:id="1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bookmarkEnd w:id="19"/>
      <w:bookmarkEnd w:id="20"/>
      <w:r>
        <w:rPr>
          <w:sz w:val="24"/>
          <w:szCs w:val="24"/>
          <w:lang w:val="ru-RU"/>
        </w:rPr>
        <w:t>Перечень и объем оказываемых услуг</w:t>
      </w:r>
    </w:p>
    <w:tbl>
      <w:tblPr>
        <w:tblW w:w="966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44"/>
        <w:gridCol w:w="7251"/>
        <w:gridCol w:w="1573"/>
      </w:tblGrid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Хранение отработанных нефтепродуктов в специализированных герметичных емкостях (бочко-тара, еврокубы)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т*сутки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автокрана (погрузчика)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грузчиков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перекачке нефтепродукта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Шлам очистки емкостей и трубопроводов от нефти и нефтепродуктов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масла дизельных средств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топлива дизельных средств отработанных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масла автотранспортных средств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топлива автотранспортных средств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Грунт, загрязненный нефтью или нефтепродуктами (15% и более)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Сорбенты из природных материалов, отработанные при локализации и ликвидации разливов нефти или нефтепродуктов (15% и более)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Тара из черных металлов, загрязненная нефтепродуктами (менее 15%)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Тара из черных металлов, загрязненная лакокрасочными материалами (менее 5%)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Системный блок компьютера,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Принтеры, сканеры, многофункциональные устройства (МФУ)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Картриджи печатающих устройств с содержанием тонера менее 7%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Клавиатура, манипулятор «мышь» с соединительными проводами,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Мониторы компьютерные жидкокристаллические,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Светодиодные лампы,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Огнетушители углекислотные, утратившие потребительские свойства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Отходы минеральных солей при регенерации натрий-катионитовых фильтров для умягчения воды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воздушные дизельных двигателей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Камеры пневматических шин автомобильных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Покрышки пневматических шин с тканевым кордом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Покрышки пневматических шин с металлическим кордом отработанные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Грунт, загрязненный нефтью или нефтепродуктами (менее 15%)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</w:t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Отходы полиэтиленовой тары не загрязненной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5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м3</w:t>
            </w:r>
          </w:p>
        </w:tc>
      </w:tr>
    </w:tbl>
    <w:p>
      <w:pPr>
        <w:pStyle w:val="3"/>
        <w:numPr>
          <w:ilvl w:val="2"/>
          <w:numId w:val="3"/>
        </w:numPr>
        <w:rPr>
          <w:lang w:val="ru-RU"/>
        </w:rPr>
      </w:pPr>
      <w:bookmarkStart w:id="21" w:name="__RefHeading___Toc4234912_1282851215"/>
      <w:bookmarkStart w:id="22" w:name="_Toc148889121"/>
      <w:bookmarkStart w:id="23" w:name="_Toc51339696"/>
      <w:bookmarkEnd w:id="21"/>
      <w:r>
        <w:rPr>
          <w:lang w:val="ru-RU"/>
        </w:rPr>
        <w:t xml:space="preserve">Требования </w:t>
      </w:r>
      <w:bookmarkEnd w:id="23"/>
      <w:r>
        <w:rPr>
          <w:lang w:val="ru-RU"/>
        </w:rPr>
        <w:t>к срокам оказания услуг</w:t>
      </w:r>
      <w:bookmarkEnd w:id="22"/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4" w:name="__RefHeading___Toc4234914_1282851215"/>
      <w:bookmarkStart w:id="25" w:name="_Toc148889122"/>
      <w:bookmarkStart w:id="26" w:name="_Toc51339697"/>
      <w:bookmarkStart w:id="27" w:name="_Toc50125127"/>
      <w:bookmarkStart w:id="28" w:name="_Toc50125126_Копия_1"/>
      <w:bookmarkEnd w:id="24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1.2</w:t>
      </w:r>
      <w:r>
        <w:rPr>
          <w:sz w:val="24"/>
          <w:szCs w:val="24"/>
        </w:rPr>
        <w:t xml:space="preserve"> </w:t>
      </w:r>
      <w:bookmarkStart w:id="29" w:name="_Hlk50465284"/>
      <w:r>
        <w:rPr>
          <w:sz w:val="24"/>
          <w:szCs w:val="24"/>
        </w:rPr>
        <w:t xml:space="preserve">Требования </w:t>
      </w:r>
      <w:bookmarkEnd w:id="25"/>
      <w:bookmarkEnd w:id="26"/>
      <w:bookmarkEnd w:id="27"/>
      <w:bookmarkEnd w:id="29"/>
      <w:r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</w:rPr>
        <w:t>срокам оказания услуг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29"/>
        <w:gridCol w:w="2996"/>
        <w:gridCol w:w="2790"/>
        <w:gridCol w:w="2860"/>
      </w:tblGrid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>
          <w:trHeight w:val="77" w:hRule="atLeast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7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7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Хранение отработанных нефтепродуктов в специализированных герметичных емкостях (бочко-тара, еврокубы)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автокрана (погрузчика)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грузчиков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перекачке нефтепродукта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Шлам очистки емкостей и трубопроводов от нефти и нефтепродуктов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масла дизельных средств отработанные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топлива дизельных средств отработанных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масла автотранспортных средств отработанные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очистки топлива автотранспортных средств отработанные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Грунт, загрязненный нефтью или нефтепродуктами (15% и более)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Сорбенты из природных материалов, отработанные при локализации и ликвидации разливов нефти или нефтепродуктов (15% и более)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Тара из черных металлов, загрязненная нефтепродуктами (менее 15%)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Тара из черных металлов, загрязненная лакокрасочными материалами (менее 5%)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Системный блок компьютера, утратившие потребительские свойства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Принтеры, сканеры, многофункциональные устройства (МФУ)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273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Картриджи печатающих устройств с содержанием тонера менее 7% отработанные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783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Клавиатура, манипулятор «мышь» с соединительными проводами, утратившие потребительские свойства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378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Мониторы компьютерные жидкокристаллические, утратившие потребительские свойства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423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Светодиодные лампы, утратившие потребительские свойства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648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303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228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Огнетушители углекислотные, утратившие потребительские свойства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1140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Отходы минеральных солей при регенерации натрий-катионитовых фильтров для умягчения воды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558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Фильтры воздушные дизельных двигателей отработанные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545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Камеры пневматических шин автомобильных отработанные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637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Покрышки пневматических шин с тканевым кордом отработанные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159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Покрышки пневматических шин с металлическим кордом отработанные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390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Грунт, загрязненный нефтью или нефтепродуктами (менее 15%)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  <w:tr>
        <w:trPr>
          <w:trHeight w:val="270" w:hRule="atLeast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2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5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Отходы полиэтиленовой тары не загрязненной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Начало – не ранее 01 января 2027 г.</w:t>
            </w:r>
          </w:p>
        </w:tc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0"/>
                <w:szCs w:val="24"/>
              </w:rPr>
            </w:pPr>
            <w:r>
              <w:rPr>
                <w:i/>
                <w:iCs/>
                <w:sz w:val="20"/>
                <w:szCs w:val="24"/>
              </w:rPr>
              <w:t>Окончание – не позднее 31 декабря 2027 г.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30" w:name="__RefHeading___Toc4234916_1282851215"/>
      <w:bookmarkStart w:id="31" w:name="_Toc51339698"/>
      <w:bookmarkStart w:id="32" w:name="_Toc148889124"/>
      <w:bookmarkEnd w:id="30"/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 Требования к качеству услуг</w:t>
      </w:r>
      <w:bookmarkEnd w:id="32"/>
      <w:r>
        <w:rPr>
          <w:sz w:val="24"/>
          <w:szCs w:val="24"/>
        </w:rPr>
        <w:t xml:space="preserve"> </w:t>
      </w:r>
      <w:bookmarkEnd w:id="31"/>
    </w:p>
    <w:p>
      <w:pPr>
        <w:pStyle w:val="Normal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(позиции №№ 1-29 Таблицы 1.1): </w:t>
      </w:r>
    </w:p>
    <w:p>
      <w:pPr>
        <w:pStyle w:val="Normal"/>
        <w:spacing w:before="0" w:after="120"/>
        <w:ind w:right="397" w:hanging="0"/>
        <w:jc w:val="both"/>
        <w:rPr>
          <w:rFonts w:eastAsia="Calibri"/>
          <w:i/>
          <w:i/>
          <w:sz w:val="24"/>
          <w:szCs w:val="24"/>
          <w:lang w:eastAsia="x-none"/>
        </w:rPr>
      </w:pPr>
      <w:r>
        <w:rPr>
          <w:b/>
          <w:bCs/>
          <w:sz w:val="24"/>
          <w:szCs w:val="24"/>
        </w:rPr>
        <w:t xml:space="preserve">Наименование продукции: </w:t>
      </w:r>
      <w:r>
        <w:rPr>
          <w:rFonts w:eastAsia="Calibri"/>
          <w:b w:val="false"/>
          <w:bCs w:val="false"/>
          <w:i/>
          <w:sz w:val="24"/>
          <w:szCs w:val="24"/>
          <w:lang w:eastAsia="x-none"/>
        </w:rPr>
        <w:t>Услуги по хранению и переработке нефтепродуктов и прочего МТР для нужд филиалов АО «Сахаэнерго»</w:t>
      </w:r>
    </w:p>
    <w:p>
      <w:pPr>
        <w:pStyle w:val="Normal"/>
        <w:spacing w:before="0" w:after="0"/>
        <w:ind w:firstLine="426"/>
        <w:contextualSpacing/>
        <w:jc w:val="both"/>
        <w:rPr>
          <w:rFonts w:ascii="Times New Roman" w:hAnsi="Times New Roman"/>
          <w:b/>
          <w:b/>
          <w:bCs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Условия хранения:</w:t>
      </w:r>
    </w:p>
    <w:p>
      <w:pPr>
        <w:pStyle w:val="Normal"/>
        <w:spacing w:before="0" w:after="0"/>
        <w:ind w:firstLine="426"/>
        <w:contextualSpacing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191919"/>
          <w:spacing w:val="0"/>
          <w:sz w:val="24"/>
          <w:szCs w:val="24"/>
        </w:rPr>
        <w:t>Хранение и прием нефтепродуктов (отработанных) должны осуществляться на огражденной территории. П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лощадка для накопления нефтепродуктов (отработанных) должна иметь твёрдое покрытие и навес, исключающий попадание воды и посторонних предметов. Ёмкости с отработанным нефтепродуктом должны быть оборудованы металлическими поддонами. Поддон должен обеспечивать удержание масла в случае перелива не менее 5 % объёма. При хранении ёмкостей с отработанными нефтепродуктами необходимо следить за их герметичностью, не допускать случаев загрязнения отработанными нефтепродуктами компонентов окружающей среды (пробки бочек необходимо плотно затягивать, при обнаружении нарушения герметичности бочек с нефтепродуктами незамедлительно принять меры по их перетариванию в герметичную тару). В местах хранения должны быть вывешены инструкции о порядке обращения с отработанными нефтепродуктами и по противопожарному режиму. Для ликвидации возможных разливов нефтепродуктов, в помещении для хранения и на площадках, должен иметься ящик с песком и лопата.</w:t>
      </w:r>
    </w:p>
    <w:p>
      <w:pPr>
        <w:pStyle w:val="Normal"/>
        <w:ind w:firstLine="426"/>
        <w:jc w:val="both"/>
        <w:rPr>
          <w:rFonts w:eastAsia="Calibri"/>
          <w:b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Хранитель обязан: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Принять и обеспечить сохранность имущества, возвратить его в надлежащем состоянии и нести ответственность за его утрату, недостачу или повреждение. Имущество, подлежащее к хранению, передается и принимается, в том числе при выдаче по требованию Грузовладельца и в случае возврата на хранение, по двухстороннему акту. 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Принять все необходимые (противопожарные, охранные и т.п.) меры для того, чтобы обеспечить сохранность переданного на хранение имущества.</w:t>
      </w:r>
    </w:p>
    <w:p>
      <w:pPr>
        <w:pStyle w:val="Normal"/>
        <w:ind w:firstLine="426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Возвратить Грузовладельцу имущество, переданное на хранение, в том состоянии, в каком оно было принято на хранение.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shd w:fill="auto" w:val="clear"/>
          <w:lang w:eastAsia="en-US"/>
        </w:rPr>
        <w:t>Соблюдать предусмотренные законом, иными правовыми актами или в установленном ими порядке противопожарные, санитарные, охранные нормы.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Для оказания услуг Хранитель должен иметь на праве собственности или ином законном основании земельный участок или площадку для хранения и переработки груза Грузовладельца площадью не менее 700 м</w:t>
      </w:r>
      <w:r>
        <w:rPr>
          <w:sz w:val="24"/>
          <w:szCs w:val="24"/>
          <w:shd w:fill="auto" w:val="clear"/>
          <w:vertAlign w:val="superscript"/>
        </w:rPr>
        <w:t>2</w:t>
      </w:r>
      <w:r>
        <w:rPr>
          <w:position w:val="0"/>
          <w:sz w:val="24"/>
          <w:sz w:val="24"/>
          <w:szCs w:val="24"/>
          <w:shd w:fill="auto" w:val="clear"/>
          <w:vertAlign w:val="baseline"/>
        </w:rPr>
        <w:t>.</w:t>
      </w:r>
      <w:r>
        <w:rPr>
          <w:sz w:val="24"/>
          <w:szCs w:val="24"/>
          <w:shd w:fill="auto" w:val="clear"/>
        </w:rPr>
        <w:t xml:space="preserve"> Площадки должны соответствовать требованиям Приказа Минтруда России от 28.10.2020 № 753н "Об утверждении Правил по охране труда при погрузочно-разгрузочных работах и размещении грузов".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 Территория должна обеспечивать беспрепятственный заезд и выезд крупногабаритной спецтехники. Поверхности площадок должны быть ровными и сухими круглый год. В зимний период необходимо обеспечить очистку от снега подъездных путей и территории.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i/>
          <w:iCs/>
          <w:sz w:val="24"/>
          <w:szCs w:val="24"/>
          <w:shd w:fill="auto" w:val="clear"/>
        </w:rPr>
        <w:t>Подтверждающие документы предоставляются на этапе подачи заявки при проведении торговых процедур на ЭТП, включая: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i/>
          <w:iCs/>
          <w:sz w:val="24"/>
          <w:szCs w:val="24"/>
          <w:shd w:fill="auto" w:val="clear"/>
        </w:rPr>
        <w:t>- документ, подтверждающий право собственности на земельный участок, или заверенные копии договора аренды (при отсутствии собственного участка);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i/>
          <w:iCs/>
          <w:sz w:val="24"/>
          <w:szCs w:val="24"/>
          <w:shd w:fill="auto" w:val="clear"/>
        </w:rPr>
        <w:t>- выписку из ЕГРН.</w:t>
      </w:r>
    </w:p>
    <w:p>
      <w:pPr>
        <w:pStyle w:val="Normal"/>
        <w:ind w:firstLine="426"/>
        <w:jc w:val="both"/>
        <w:rPr>
          <w:b/>
          <w:b/>
          <w:bCs/>
        </w:rPr>
      </w:pPr>
      <w:r>
        <w:rPr>
          <w:rFonts w:eastAsia="Calibri"/>
          <w:b/>
          <w:bCs/>
          <w:sz w:val="24"/>
          <w:szCs w:val="24"/>
          <w:shd w:fill="auto" w:val="clear"/>
          <w:lang w:eastAsia="en-US"/>
        </w:rPr>
        <w:t>Требования к  материально-техническим ресурсам:</w:t>
      </w:r>
    </w:p>
    <w:p>
      <w:pPr>
        <w:pStyle w:val="Normal"/>
        <w:ind w:firstLine="426"/>
        <w:jc w:val="both"/>
        <w:rPr>
          <w:sz w:val="24"/>
        </w:rPr>
      </w:pPr>
      <w:r>
        <w:rPr>
          <w:sz w:val="24"/>
        </w:rPr>
        <w:t>Хранитель при оказании услуг должен обладать принадлежащим ему на праве собственности или ином законном основании, необходимым количеством материально-технических ресурсов (средствами малой механизации, перегрузочными машинами и грузоподъемными механизмами (краны и погрузчики), съёмными грузозахватными приспособления, приспособлениями, специальными инструментами, средствами индивидуальной защиты, спецодежды и т.д.) находящимися в исправном состоянии:</w:t>
      </w:r>
    </w:p>
    <w:p>
      <w:pPr>
        <w:pStyle w:val="Normal"/>
        <w:ind w:firstLine="426"/>
        <w:jc w:val="both"/>
        <w:rPr>
          <w:sz w:val="24"/>
        </w:rPr>
      </w:pPr>
      <w:r>
        <w:rPr>
          <w:sz w:val="24"/>
        </w:rPr>
        <w:t>- не менее 1-ой единицы техники;</w:t>
      </w:r>
    </w:p>
    <w:p>
      <w:pPr>
        <w:pStyle w:val="Normal"/>
        <w:tabs>
          <w:tab w:val="clear" w:pos="708"/>
          <w:tab w:val="left" w:pos="993" w:leader="none"/>
        </w:tabs>
        <w:ind w:firstLine="426"/>
        <w:jc w:val="both"/>
        <w:rPr>
          <w:i/>
          <w:i/>
          <w:iCs/>
        </w:rPr>
      </w:pPr>
      <w:r>
        <w:rPr>
          <w:i/>
          <w:iCs/>
          <w:sz w:val="24"/>
        </w:rPr>
        <w:t>Соответствующую информацию предоставить до заключения договора по форме «Справка о материально-технических ресурсах» в Документации о закупке, с приложением:</w:t>
      </w:r>
    </w:p>
    <w:p>
      <w:pPr>
        <w:pStyle w:val="Normal"/>
        <w:ind w:firstLine="426"/>
        <w:jc w:val="both"/>
        <w:rPr>
          <w:i/>
          <w:i/>
          <w:iCs/>
        </w:rPr>
      </w:pPr>
      <w:r>
        <w:rPr>
          <w:i/>
          <w:iCs/>
          <w:sz w:val="24"/>
          <w:shd w:fill="auto" w:val="clear"/>
        </w:rPr>
        <w:t>- документы, подтверждающие право собственности;</w:t>
      </w:r>
    </w:p>
    <w:p>
      <w:pPr>
        <w:pStyle w:val="Normal"/>
        <w:ind w:firstLine="426"/>
        <w:jc w:val="both"/>
        <w:rPr>
          <w:i/>
          <w:i/>
          <w:iCs/>
        </w:rPr>
      </w:pPr>
      <w:r>
        <w:rPr>
          <w:i/>
          <w:iCs/>
          <w:sz w:val="24"/>
        </w:rPr>
        <w:t>*В случае отсутствия собственной техники, Хранитель должен представить заверенные копии (по своему усмотрению из перечисленных):</w:t>
      </w:r>
    </w:p>
    <w:p>
      <w:pPr>
        <w:pStyle w:val="Normal"/>
        <w:ind w:firstLine="426"/>
        <w:jc w:val="both"/>
        <w:rPr>
          <w:i/>
          <w:i/>
          <w:iCs/>
        </w:rPr>
      </w:pPr>
      <w:r>
        <w:rPr>
          <w:i/>
          <w:iCs/>
          <w:sz w:val="24"/>
        </w:rPr>
        <w:t>- договор аренды специальной техники и/или на оказания услуг специальной техники.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sz w:val="24"/>
          <w:shd w:fill="auto" w:val="clear"/>
        </w:rPr>
        <w:t xml:space="preserve">Предоставить информацию о наличии у Хранителя собственного или привлеченного (по трудовым либо гражданско-правовым договорам) квалифицированного персонала для оказания услуг с указанием должностей, образования, разрядов, обученных Правилам охраны труда, имеющих свидетельство на право производства погрузочно-разгрузочных работ и размещению грузов с применением грузоподъемных машин в соответствии с Приказом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 </w:t>
      </w:r>
      <w:r>
        <w:rPr>
          <w:i/>
          <w:iCs/>
          <w:sz w:val="24"/>
          <w:shd w:fill="auto" w:val="clear"/>
        </w:rPr>
        <w:t>Соответствующую информацию с подтверждающими документами предоставить на этапе подачи заявки при проведении торговых процедур на ЭТП по форме «Справка о кадровых ресурсах» в Документации о закупке не менее на 2 человек:</w:t>
      </w:r>
    </w:p>
    <w:p>
      <w:pPr>
        <w:pStyle w:val="Normal"/>
        <w:ind w:firstLine="426"/>
        <w:jc w:val="both"/>
        <w:rPr>
          <w:i/>
          <w:i/>
          <w:iCs/>
        </w:rPr>
      </w:pPr>
      <w:r>
        <w:rPr>
          <w:i/>
          <w:iCs/>
          <w:sz w:val="24"/>
          <w:shd w:fill="auto" w:val="clear"/>
        </w:rPr>
        <w:t>- грузчик-стропальщик — 1 шт. ед.;</w:t>
      </w:r>
    </w:p>
    <w:p>
      <w:pPr>
        <w:pStyle w:val="Normal"/>
        <w:ind w:firstLine="426"/>
        <w:jc w:val="both"/>
        <w:rPr>
          <w:i/>
          <w:i/>
          <w:iCs/>
        </w:rPr>
      </w:pPr>
      <w:r>
        <w:rPr>
          <w:i/>
          <w:iCs/>
          <w:sz w:val="24"/>
          <w:shd w:fill="auto" w:val="clear"/>
        </w:rPr>
        <w:t>- кладовщик — 1 шт. ед.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i/>
          <w:iCs/>
          <w:sz w:val="24"/>
          <w:shd w:fill="auto" w:val="clear"/>
        </w:rPr>
        <w:t>Предоставить Грузовладельцу на этапе подачи заявки при проведении торговых процедур на ЭТП копии свидетельства работников на право производства погрузочно-разгрузочных работ и размещению грузов с применением грузоподъемных машин (стропальщиков)</w:t>
      </w:r>
      <w:r>
        <w:rPr>
          <w:sz w:val="24"/>
          <w:shd w:fill="auto" w:val="clear"/>
        </w:rPr>
        <w:t>.</w:t>
      </w:r>
    </w:p>
    <w:p>
      <w:pPr>
        <w:pStyle w:val="Normal"/>
        <w:ind w:firstLine="4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Предоставлять Грузовладельцу либо иным лицам по указанию Грузовладельца во время хранения возможность осматривать имущество при предъявлении ими заверенных копий документов, подтверждающих право на осуществление действий с конкретным имуществом (задание на оценку, опись имущества и др.). По результатам осмотра по требованию Грузовладельца предоставлять последнему Акт осмотра. </w:t>
      </w:r>
    </w:p>
    <w:p>
      <w:pPr>
        <w:pStyle w:val="Normal"/>
        <w:ind w:firstLine="4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Осуществлять прием и передачу имущества только по письменному уведомлению Грузовладельца с соблюдением следующих требований: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прием имущества от имени и по указанию Грузовладельца, при наличии документов, идентифицирующих и характеризующих имущество;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приемка, размещение и отгрузка имущества ежедневно в рабочее время, а также в выходные дни по письменному уведомлению Грузовладельца за 1 рабочий день.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осмотр, пересчет имущества, определение его количества (число единиц (мест), тары (емкости), веса, объема (куб.м.), внешнего состояния при получении имущества от организаций по указанию Грузовладельца.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погрузка-разгрузка имущества при его приеме, размещении на хранение и выдаче;</w:t>
      </w:r>
    </w:p>
    <w:p>
      <w:pPr>
        <w:pStyle w:val="Normal"/>
        <w:ind w:firstLine="4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осуществлять фото и (или) видео фиксацию состояния такого имущества на момент его приема;</w:t>
      </w:r>
    </w:p>
    <w:p>
      <w:pPr>
        <w:pStyle w:val="Normal"/>
        <w:ind w:firstLine="4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в случае наличия визуальных дефектов и повреждений имущества – отражать это в акте приема передачи (2 экз.), подписываемом сторонами, с приложением результатов фото и (или) видеофиксации;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оформлять и предоставлять Грузовладельцу нарочным способом акты приема-передачи в течение 1 (одного) рабочего дня после принятия имущества, и иные необходимые документы в сроки, установленные Договором;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 xml:space="preserve">- ведение журнала по поступлению и отпуску МТР с указанием: даты и времени, наименование филиала отправителя, наименование организации грузополучателя,  характер МТР, веса, количества, марки и гос. номера автотранспорта и т.д.; </w:t>
      </w:r>
    </w:p>
    <w:p>
      <w:pPr>
        <w:pStyle w:val="Normal"/>
        <w:ind w:firstLine="426"/>
        <w:jc w:val="both"/>
        <w:rPr>
          <w:highlight w:val="none"/>
          <w:shd w:fill="auto" w:val="clear"/>
        </w:rPr>
      </w:pPr>
      <w:r>
        <w:rPr>
          <w:rFonts w:eastAsia="Calibri"/>
          <w:sz w:val="24"/>
          <w:szCs w:val="24"/>
          <w:shd w:fill="auto" w:val="clear"/>
          <w:lang w:eastAsia="en-US"/>
        </w:rPr>
        <w:t>Кладовщик Хранителя обязан качественно и своевременно вести учет на весь период действия договора по движению груза Грузовладельца: ведение журнала по поступлению и отпуску, документы по приходу и отпуску грузов, сверка остатков хранимого груза и т. д. По запросу Грузовладельца, в течении 1 рабочего дня, определить количество и качество хранимого/поступившего груза и направить информацию в адрес представителя Грузовладельца.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Хранитель не вправе без согласия Грузовладельца передавать имущество на хранение третьему лицу.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срока, предоставленного Хранителем для обратного получения Имущества, Грузовладелец обязан немедленно забрать переданное на хранение Имущество.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Хранитель отвечает за утрату, недостачу или повреждение имущества, принятого на хранение, независимо от вины, если не докажет, что надлежащее исполнение обязательств по хранению оказалось невозможным вследствие непреодолимой силы. </w:t>
      </w:r>
    </w:p>
    <w:p>
      <w:pPr>
        <w:pStyle w:val="Normal"/>
        <w:spacing w:before="0" w:after="0"/>
        <w:ind w:firstLine="426"/>
        <w:contextualSpacing/>
        <w:jc w:val="both"/>
        <w:rPr>
          <w:sz w:val="24"/>
          <w:szCs w:val="24"/>
        </w:rPr>
      </w:pPr>
      <w:r>
        <w:rPr>
          <w:rFonts w:eastAsia="Calibri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lang w:eastAsia="x-none"/>
        </w:rPr>
        <w:t>Убытки, причиненные Грузовладельцу утратой, недостачей или повреждением имущества, возмещаются Хранителем в соответствии Гражданским кодексом РФ.</w:t>
      </w:r>
      <w:r>
        <w:rPr>
          <w:sz w:val="24"/>
          <w:szCs w:val="24"/>
        </w:rPr>
        <w:t xml:space="preserve"> </w:t>
      </w:r>
    </w:p>
    <w:p>
      <w:pPr>
        <w:pStyle w:val="Normal"/>
        <w:spacing w:before="0" w:after="120"/>
        <w:ind w:right="397" w:hanging="0"/>
        <w:jc w:val="both"/>
        <w:rPr>
          <w:rStyle w:val="Style16"/>
          <w:b w:val="false"/>
          <w:b w:val="false"/>
          <w:sz w:val="24"/>
          <w:szCs w:val="24"/>
          <w:shd w:fill="auto" w:val="clear"/>
        </w:rPr>
      </w:pPr>
      <w:r>
        <w:rPr>
          <w:b w:val="false"/>
          <w:sz w:val="24"/>
          <w:szCs w:val="24"/>
          <w:shd w:fill="auto" w:val="clear"/>
        </w:rPr>
      </w:r>
    </w:p>
    <w:p>
      <w:pPr>
        <w:pStyle w:val="Normal"/>
        <w:spacing w:before="40" w:after="120"/>
        <w:ind w:right="-28" w:hanging="0"/>
        <w:jc w:val="both"/>
        <w:rPr>
          <w:rStyle w:val="Style16"/>
          <w:rFonts w:eastAsia="Calibri" w:eastAsiaTheme="minorHAnsi"/>
          <w:b w:val="false"/>
          <w:b w:val="false"/>
          <w:iCs/>
          <w:sz w:val="24"/>
          <w:szCs w:val="22"/>
        </w:rPr>
      </w:pPr>
      <w:r>
        <w:rPr>
          <w:b/>
          <w:iCs/>
          <w:sz w:val="24"/>
          <w:szCs w:val="22"/>
        </w:rPr>
        <w:t>Таблица 4. Требование Заказчика</w:t>
      </w:r>
    </w:p>
    <w:p>
      <w:pPr>
        <w:pStyle w:val="Normal"/>
        <w:jc w:val="both"/>
        <w:rPr>
          <w:rStyle w:val="Style16"/>
          <w:b w:val="false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tbl>
      <w:tblPr>
        <w:tblStyle w:val="af"/>
        <w:tblW w:w="1488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1"/>
        <w:gridCol w:w="2267"/>
        <w:gridCol w:w="3403"/>
        <w:gridCol w:w="2692"/>
        <w:gridCol w:w="2927"/>
        <w:gridCol w:w="2744"/>
      </w:tblGrid>
      <w:tr>
        <w:trPr/>
        <w:tc>
          <w:tcPr>
            <w:tcW w:w="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26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40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7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bookmarkStart w:id="33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33"/>
          </w:p>
        </w:tc>
        <w:tc>
          <w:tcPr>
            <w:tcW w:w="22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оказанию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  <w:shd w:color="auto" w:fill="auto" w:val="clear"/>
          </w:tcPr>
          <w:p>
            <w:pPr>
              <w:pStyle w:val="Normal"/>
              <w:widowControl w:val="false"/>
              <w:ind w:firstLine="426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shd w:fill="auto" w:val="clear"/>
              </w:rPr>
              <w:t>- документ, подтверждающий право собственности на земельный участок, или заверенные копии договора аренды (при отсутствии собственного участка);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shd w:fill="auto" w:val="clear"/>
              </w:rPr>
              <w:t>- выписку из ЕГРН;</w:t>
            </w:r>
          </w:p>
          <w:p>
            <w:pPr>
              <w:pStyle w:val="Normal"/>
              <w:widowControl w:val="false"/>
              <w:ind w:hanging="0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hd w:fill="auto" w:val="clear"/>
              </w:rPr>
              <w:t xml:space="preserve">- «Справка о материально-технических ресурсах», </w:t>
            </w:r>
            <w:r>
              <w:rPr>
                <w:i/>
                <w:iCs/>
                <w:sz w:val="24"/>
                <w:szCs w:val="24"/>
                <w:shd w:fill="auto" w:val="clear"/>
              </w:rPr>
              <w:t>приведенной в Документации о закупке;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hd w:fill="auto" w:val="clear"/>
              </w:rPr>
              <w:t>- документы, подтверждающие право собственности на специальную технику;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hd w:fill="auto" w:val="clear"/>
              </w:rPr>
              <w:t>*В случае отсутствия собственной техники, Хранитель должен представить заверенные копии:</w:t>
            </w:r>
          </w:p>
          <w:p>
            <w:pPr>
              <w:pStyle w:val="Normal"/>
              <w:widowControl w:val="false"/>
              <w:ind w:firstLine="426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position w:val="0"/>
                <w:sz w:val="24"/>
                <w:sz w:val="24"/>
                <w:szCs w:val="24"/>
                <w:shd w:fill="auto" w:val="clear"/>
                <w:vertAlign w:val="baseline"/>
              </w:rPr>
              <w:t>- договор аренды специальной техники и/или договор на оказание услуг специальной техники.</w:t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2692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453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 w:val="false"/>
                <w:b w:val="false"/>
                <w:bCs w:val="false"/>
                <w:i/>
                <w:i/>
                <w:iCs/>
                <w:sz w:val="24"/>
                <w:szCs w:val="24"/>
              </w:rPr>
            </w:pPr>
            <w:r>
              <w:rPr>
                <w:b w:val="false"/>
                <w:bCs w:val="false"/>
                <w:i/>
                <w:iCs/>
                <w:sz w:val="24"/>
                <w:szCs w:val="24"/>
              </w:rPr>
              <w:t xml:space="preserve"> </w:t>
            </w:r>
            <w:r>
              <w:rPr>
                <w:b w:val="false"/>
                <w:bCs w:val="false"/>
                <w:i/>
                <w:iCs/>
                <w:sz w:val="24"/>
                <w:szCs w:val="24"/>
              </w:rPr>
              <w:t>- «Справка о кадровых ресурсах», приведенной в Документации о закупке;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 w:val="false"/>
                <w:b w:val="false"/>
                <w:bCs w:val="false"/>
                <w:i/>
                <w:i/>
                <w:iCs/>
                <w:sz w:val="24"/>
                <w:szCs w:val="24"/>
              </w:rPr>
            </w:pPr>
            <w:r>
              <w:rPr>
                <w:b w:val="false"/>
                <w:bCs w:val="false"/>
                <w:i/>
                <w:iCs/>
                <w:sz w:val="24"/>
                <w:szCs w:val="24"/>
              </w:rPr>
              <w:t xml:space="preserve"> </w:t>
            </w:r>
            <w:r>
              <w:rPr>
                <w:b w:val="false"/>
                <w:bCs w:val="false"/>
                <w:i/>
                <w:iCs/>
                <w:sz w:val="24"/>
                <w:szCs w:val="24"/>
              </w:rPr>
              <w:t>- Копии свидетельства работников на право производства погрузочно-разгрузочных работ и размещению грузов с применением грузоподъемных машин (стропальщиков).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приемке результата оказания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ind w:right="397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оказанию услуг представлены в п. 3 к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/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jc w:val="center"/>
        <w:rPr>
          <w:b/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3255" w:leader="none"/>
        </w:tabs>
        <w:rPr/>
      </w:pPr>
      <w:r>
        <w:rPr>
          <w:sz w:val="24"/>
          <w:szCs w:val="24"/>
        </w:rPr>
        <w:tab/>
      </w:r>
      <w:bookmarkStart w:id="34" w:name="_Toc51339699"/>
      <w:bookmarkStart w:id="35" w:name="_Toc46743519"/>
      <w:bookmarkEnd w:id="34"/>
      <w:bookmarkEnd w:id="35"/>
    </w:p>
    <w:p>
      <w:pPr>
        <w:pStyle w:val="Normal"/>
        <w:spacing w:before="40" w:after="120"/>
        <w:ind w:right="-28" w:hanging="0"/>
        <w:jc w:val="both"/>
        <w:rPr>
          <w:rStyle w:val="Style16"/>
          <w:rFonts w:eastAsia="Calibri" w:eastAsiaTheme="minorHAnsi"/>
          <w:b w:val="false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16"/>
          <w:rFonts w:eastAsia="Calibri" w:eastAsiaTheme="minorHAnsi"/>
          <w:b w:val="false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16"/>
          <w:rFonts w:eastAsia="Calibri" w:eastAsiaTheme="minorHAnsi"/>
          <w:b w:val="false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16"/>
          <w:rFonts w:eastAsia="Calibri" w:eastAsiaTheme="minorHAnsi"/>
          <w:b w:val="false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16"/>
          <w:rFonts w:eastAsia="Calibri" w:eastAsiaTheme="minorHAnsi"/>
          <w:b w:val="false"/>
          <w:b w:val="false"/>
          <w:iCs/>
          <w:sz w:val="22"/>
          <w:szCs w:val="22"/>
        </w:rPr>
      </w:pPr>
      <w:r>
        <w:rPr/>
      </w:r>
    </w:p>
    <w:sectPr>
      <w:headerReference w:type="default" r:id="rId5"/>
      <w:headerReference w:type="first" r:id="rId6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Verdana">
    <w:charset w:val="cc"/>
    <w:family w:val="roman"/>
    <w:pitch w:val="variable"/>
  </w:font>
  <w:font w:name="Garamond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1"/>
    <w:qFormat/>
    <w:rsid w:val="00ea61a8"/>
    <w:pPr>
      <w:outlineLvl w:val="1"/>
    </w:pPr>
    <w:rPr/>
  </w:style>
  <w:style w:type="paragraph" w:styleId="3">
    <w:name w:val="Heading 3"/>
    <w:basedOn w:val="Normal"/>
    <w:next w:val="Normal"/>
    <w:link w:val="31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Normal"/>
    <w:link w:val="41"/>
    <w:qFormat/>
    <w:rsid w:val="006629c9"/>
    <w:pPr>
      <w:outlineLvl w:val="3"/>
    </w:pPr>
    <w:rPr>
      <w:bCs/>
    </w:rPr>
  </w:style>
  <w:style w:type="paragraph" w:styleId="5">
    <w:name w:val="Heading 5"/>
    <w:basedOn w:val="Normal"/>
    <w:next w:val="Normal"/>
    <w:link w:val="51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link w:val="61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link w:val="71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link w:val="81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link w:val="91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5">
    <w:name w:val="Символ сноски"/>
    <w:qFormat/>
    <w:rsid w:val="00d561d9"/>
    <w:rPr>
      <w:vertAlign w:val="superscript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7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1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1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1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1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8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9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10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1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2" w:customStyle="1">
    <w:name w:val="Электронная подпись Знак"/>
    <w:link w:val="E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37"/>
    <w:qFormat/>
    <w:locked/>
    <w:rsid w:val="00d22f6d"/>
    <w:rPr>
      <w:sz w:val="28"/>
    </w:rPr>
  </w:style>
  <w:style w:type="character" w:styleId="Style13" w:customStyle="1">
    <w:name w:val="Текст сноски Знак"/>
    <w:uiPriority w:val="99"/>
    <w:qFormat/>
    <w:rsid w:val="00d22f6d"/>
    <w:rPr/>
  </w:style>
  <w:style w:type="character" w:styleId="Style14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5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16" w:customStyle="1">
    <w:name w:val="комментарий"/>
    <w:qFormat/>
    <w:rsid w:val="0025139e"/>
    <w:rPr>
      <w:b/>
      <w:i/>
      <w:shd w:fill="FFFF99" w:val="clear"/>
    </w:rPr>
  </w:style>
  <w:style w:type="character" w:styleId="Style17" w:customStyle="1">
    <w:name w:val="Подподпункт Знак"/>
    <w:link w:val="Style48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8"/>
    <w:qFormat/>
    <w:rsid w:val="00b56f46"/>
    <w:rPr>
      <w:rFonts w:eastAsia="Calibri"/>
      <w:sz w:val="26"/>
      <w:szCs w:val="28"/>
      <w:lang w:eastAsia="en-US"/>
    </w:rPr>
  </w:style>
  <w:style w:type="character" w:styleId="Style18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9" w:customStyle="1">
    <w:name w:val="Текст примечания Знак"/>
    <w:link w:val="Annotationtext"/>
    <w:semiHidden/>
    <w:qFormat/>
    <w:rsid w:val="00dc0f7d"/>
    <w:rPr/>
  </w:style>
  <w:style w:type="character" w:styleId="Style20" w:customStyle="1">
    <w:name w:val="Текст концевой сноски Знак"/>
    <w:basedOn w:val="DefaultParagraphFont"/>
    <w:qFormat/>
    <w:rsid w:val="003879d4"/>
    <w:rPr/>
  </w:style>
  <w:style w:type="character" w:styleId="Style21">
    <w:name w:val="Символ концевой сноски"/>
    <w:qFormat/>
    <w:rsid w:val="003879d4"/>
    <w:rPr>
      <w:vertAlign w:val="superscript"/>
    </w:rPr>
  </w:style>
  <w:style w:type="character" w:styleId="Style22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23" w:customStyle="1">
    <w:name w:val="Пункт2 Знак"/>
    <w:link w:val="25"/>
    <w:qFormat/>
    <w:rsid w:val="00de52bc"/>
    <w:rPr>
      <w:b/>
      <w:sz w:val="28"/>
    </w:rPr>
  </w:style>
  <w:style w:type="character" w:styleId="13" w:customStyle="1">
    <w:name w:val="УРОВЕНЬ_1. Знак"/>
    <w:link w:val="111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23">
    <w:name w:val="Ссылка указателя"/>
    <w:qFormat/>
    <w:rPr/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5">
    <w:name w:val="Body Text"/>
    <w:basedOn w:val="Normal"/>
    <w:link w:val="Style14"/>
    <w:rsid w:val="0076353a"/>
    <w:pPr>
      <w:spacing w:before="0" w:after="12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</w:rPr>
  </w:style>
  <w:style w:type="paragraph" w:styleId="Style2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3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Style32">
    <w:name w:val="Footnote Text"/>
    <w:basedOn w:val="Normal"/>
    <w:link w:val="Style13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8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8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5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6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3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7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3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38" w:customStyle="1">
    <w:name w:val="Раздел регламента"/>
    <w:basedOn w:val="Normal"/>
    <w:qFormat/>
    <w:rsid w:val="00e228fa"/>
    <w:pPr/>
    <w:rPr/>
  </w:style>
  <w:style w:type="paragraph" w:styleId="Style39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9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0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1">
    <w:name w:val="Subtitle"/>
    <w:basedOn w:val="Normal"/>
    <w:next w:val="Normal"/>
    <w:link w:val="Style9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15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1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Style42">
    <w:name w:val="Index Heading"/>
    <w:basedOn w:val="Style24"/>
    <w:pPr/>
    <w:rPr/>
  </w:style>
  <w:style w:type="paragraph" w:styleId="Style43">
    <w:name w:val="TOC Heading"/>
    <w:basedOn w:val="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Style12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4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5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6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7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8" w:customStyle="1">
    <w:name w:val="Подподпункт"/>
    <w:basedOn w:val="Style37"/>
    <w:link w:val="Style17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9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Style50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2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5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Style52">
    <w:name w:val="Endnote Text"/>
    <w:basedOn w:val="Normal"/>
    <w:link w:val="Style20"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5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rsid w:val="001467a7"/>
    <w:pPr>
      <w:numPr>
        <w:ilvl w:val="0"/>
        <w:numId w:val="8"/>
      </w:numPr>
      <w:tabs>
        <w:tab w:val="clear" w:pos="708"/>
        <w:tab w:val="left" w:pos="567" w:leader="none"/>
      </w:tabs>
      <w:jc w:val="both"/>
    </w:pPr>
    <w:rPr>
      <w:sz w:val="22"/>
      <w:szCs w:val="24"/>
    </w:rPr>
  </w:style>
  <w:style w:type="paragraph" w:styleId="Default" w:customStyle="1">
    <w:name w:val="Default"/>
    <w:qFormat/>
    <w:rsid w:val="007528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54">
    <w:name w:val="Содержимое врезки"/>
    <w:basedOn w:val="Normal"/>
    <w:qFormat/>
    <w:pPr/>
    <w:rPr/>
  </w:style>
  <w:style w:type="paragraph" w:styleId="Style55">
    <w:name w:val="Содержимое таблицы"/>
    <w:basedOn w:val="Normal"/>
    <w:qFormat/>
    <w:pPr>
      <w:widowControl w:val="false"/>
      <w:suppressLineNumbers/>
    </w:pPr>
    <w:rPr/>
  </w:style>
  <w:style w:type="paragraph" w:styleId="Style56">
    <w:name w:val="Заголовок таблицы"/>
    <w:basedOn w:val="Style5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E308C-C3C1-4FEC-AA60-8157E3A5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Application>AlterOffice/3.2.11.4$Windows_X86_64 LibreOffice_project/036fd5b69a05047fede6d0de17e75a025ddcef59</Application>
  <AppVersion>15.0000</AppVersion>
  <Pages>12</Pages>
  <Words>2564</Words>
  <Characters>16571</Characters>
  <CharactersWithSpaces>18799</CharactersWithSpaces>
  <Paragraphs>406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2023-10-22T07:49:00Z</dcterms:created>
  <dc:creator>Быстров Олег Геннадьевич</dc:creator>
  <dc:description/>
  <dc:language>ru-RU</dc:language>
  <cp:lastModifiedBy>Алиса Олеговна Грицуняк</cp:lastModifiedBy>
  <dcterms:modified xsi:type="dcterms:W3CDTF">2026-09-10T14:44:41Z</dcterms:modified>
  <cp:revision>27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